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29ED" w:rsidRPr="009129ED" w:rsidRDefault="009129ED" w:rsidP="009129ED">
      <w:pPr>
        <w:pStyle w:val="NormalWeb"/>
        <w:numPr>
          <w:ilvl w:val="0"/>
          <w:numId w:val="1"/>
        </w:numPr>
        <w:spacing w:before="0" w:beforeAutospacing="0" w:after="0" w:afterAutospacing="0"/>
        <w:rPr>
          <w:rFonts w:ascii="Arial" w:hAnsi="Arial"/>
          <w:color w:val="252525"/>
          <w:sz w:val="20"/>
          <w:szCs w:val="20"/>
        </w:rPr>
      </w:pPr>
      <w:r w:rsidRPr="009129ED">
        <w:rPr>
          <w:rFonts w:ascii="Arial" w:hAnsi="Arial"/>
          <w:color w:val="252525"/>
          <w:sz w:val="20"/>
          <w:szCs w:val="20"/>
        </w:rPr>
        <w:t>On December 31, 2020, Berclair Inc. had 500 million shares of common stock and 22 million shares of 9%, $100 par value cumulative preferred stock issued and outstanding. On March 1, 2021, Berclair purchased 30 million shares of its common stock as treasury stock. Berclair issued a 4% common stock dividend on July 1, 2021. Four million treasury shares were sold on October 1. Net income for the year ended December 31, 2021, was $1,100 million.</w:t>
      </w:r>
      <w:r w:rsidRPr="009129ED">
        <w:rPr>
          <w:rFonts w:ascii="Arial" w:hAnsi="Arial"/>
          <w:color w:val="252525"/>
          <w:sz w:val="20"/>
          <w:szCs w:val="20"/>
        </w:rPr>
        <w:br/>
        <w:t> </w:t>
      </w:r>
      <w:r w:rsidRPr="009129ED">
        <w:rPr>
          <w:rFonts w:ascii="Arial" w:hAnsi="Arial"/>
          <w:color w:val="252525"/>
          <w:sz w:val="20"/>
          <w:szCs w:val="20"/>
        </w:rPr>
        <w:br/>
        <w:t>Also outstanding at December 31 were 72 million incentive stock options granted to key executives on September 13, 2016. The options were exercisable as of September 13, 2020, for 72 million common shares at an exercise price of $60 per share. During 2021, the market price of the common shares averaged $90 per share.</w:t>
      </w:r>
      <w:r w:rsidRPr="009129ED">
        <w:rPr>
          <w:rFonts w:ascii="Arial" w:hAnsi="Arial"/>
          <w:color w:val="252525"/>
          <w:sz w:val="20"/>
          <w:szCs w:val="20"/>
        </w:rPr>
        <w:br/>
        <w:t> </w:t>
      </w:r>
      <w:r w:rsidRPr="009129ED">
        <w:rPr>
          <w:rFonts w:ascii="Arial" w:hAnsi="Arial"/>
          <w:color w:val="252525"/>
          <w:sz w:val="20"/>
          <w:szCs w:val="20"/>
        </w:rPr>
        <w:br/>
        <w:t>The options were exercised on September 1, 2021.</w:t>
      </w:r>
      <w:r w:rsidRPr="009129ED">
        <w:rPr>
          <w:rFonts w:ascii="Arial" w:hAnsi="Arial"/>
          <w:color w:val="252525"/>
          <w:sz w:val="20"/>
          <w:szCs w:val="20"/>
        </w:rPr>
        <w:br/>
      </w:r>
      <w:r w:rsidRPr="009129ED">
        <w:rPr>
          <w:rFonts w:ascii="inherit" w:hAnsi="inherit"/>
          <w:b/>
          <w:bCs/>
          <w:color w:val="252525"/>
          <w:sz w:val="20"/>
          <w:szCs w:val="20"/>
          <w:bdr w:val="none" w:sz="0" w:space="0" w:color="auto" w:frame="1"/>
        </w:rPr>
        <w:t> </w:t>
      </w:r>
      <w:r w:rsidRPr="009129ED">
        <w:rPr>
          <w:rFonts w:ascii="inherit" w:hAnsi="inherit"/>
          <w:b/>
          <w:bCs/>
          <w:color w:val="252525"/>
          <w:sz w:val="20"/>
          <w:szCs w:val="20"/>
          <w:bdr w:val="none" w:sz="0" w:space="0" w:color="auto" w:frame="1"/>
        </w:rPr>
        <w:br/>
        <w:t>Required:</w:t>
      </w:r>
    </w:p>
    <w:p w:rsidR="009129ED" w:rsidRPr="009129ED" w:rsidRDefault="009129ED" w:rsidP="009129ED">
      <w:pPr>
        <w:pStyle w:val="NormalWeb"/>
        <w:spacing w:before="0" w:beforeAutospacing="0" w:after="0" w:afterAutospacing="0"/>
        <w:rPr>
          <w:rStyle w:val="replace-with-component"/>
          <w:rFonts w:ascii="inherit" w:hAnsi="inherit"/>
          <w:sz w:val="20"/>
          <w:szCs w:val="20"/>
          <w:bdr w:val="none" w:sz="0" w:space="0" w:color="auto" w:frame="1"/>
        </w:rPr>
      </w:pPr>
      <w:r w:rsidRPr="009129ED">
        <w:rPr>
          <w:rFonts w:ascii="Arial" w:hAnsi="Arial"/>
          <w:color w:val="252525"/>
          <w:sz w:val="20"/>
          <w:szCs w:val="20"/>
        </w:rPr>
        <w:t>Compute Berclair’s basic and diluted earnings per share for the year ended December 31, 2021.</w:t>
      </w:r>
      <w:r w:rsidRPr="009129ED">
        <w:rPr>
          <w:rStyle w:val="apple-converted-space"/>
          <w:rFonts w:ascii="Arial" w:hAnsi="Arial"/>
          <w:color w:val="252525"/>
          <w:sz w:val="20"/>
          <w:szCs w:val="20"/>
        </w:rPr>
        <w:t> </w:t>
      </w:r>
      <w:r w:rsidRPr="009129ED">
        <w:rPr>
          <w:rFonts w:ascii="inherit" w:hAnsi="inherit"/>
          <w:b/>
          <w:bCs/>
          <w:color w:val="B11111"/>
          <w:sz w:val="20"/>
          <w:szCs w:val="20"/>
          <w:bdr w:val="none" w:sz="0" w:space="0" w:color="auto" w:frame="1"/>
        </w:rPr>
        <w:t>(Enter your answers in millions (i.e., 10,000,000 should be entered as 10). Do not round intermediate calculations.)</w:t>
      </w:r>
    </w:p>
    <w:tbl>
      <w:tblPr>
        <w:tblStyle w:val="TableGrid"/>
        <w:tblW w:w="0" w:type="auto"/>
        <w:tblLook w:val="04A0" w:firstRow="1" w:lastRow="0" w:firstColumn="1" w:lastColumn="0" w:noHBand="0" w:noVBand="1"/>
      </w:tblPr>
      <w:tblGrid>
        <w:gridCol w:w="1558"/>
        <w:gridCol w:w="1558"/>
        <w:gridCol w:w="389"/>
        <w:gridCol w:w="2719"/>
        <w:gridCol w:w="8"/>
        <w:gridCol w:w="513"/>
        <w:gridCol w:w="2597"/>
        <w:gridCol w:w="8"/>
      </w:tblGrid>
      <w:tr w:rsidR="009129ED" w:rsidRPr="009129ED" w:rsidTr="009129ED">
        <w:trPr>
          <w:gridAfter w:val="1"/>
          <w:wAfter w:w="8" w:type="dxa"/>
        </w:trPr>
        <w:tc>
          <w:tcPr>
            <w:tcW w:w="1558" w:type="dxa"/>
          </w:tcPr>
          <w:p w:rsidR="009129ED" w:rsidRPr="009129ED" w:rsidRDefault="009129ED">
            <w:pPr>
              <w:rPr>
                <w:rFonts w:ascii="Times New Roman" w:eastAsia="Times New Roman" w:hAnsi="Times New Roman" w:cs="Times New Roman"/>
                <w:sz w:val="20"/>
                <w:szCs w:val="20"/>
              </w:rPr>
            </w:pPr>
          </w:p>
        </w:tc>
        <w:tc>
          <w:tcPr>
            <w:tcW w:w="1558" w:type="dxa"/>
          </w:tcPr>
          <w:p w:rsidR="009129ED" w:rsidRPr="009129ED" w:rsidRDefault="009129ED" w:rsidP="009129ED">
            <w:pPr>
              <w:jc w:val="center"/>
              <w:rPr>
                <w:rFonts w:ascii="Times New Roman" w:eastAsia="Times New Roman" w:hAnsi="Times New Roman" w:cs="Times New Roman"/>
                <w:sz w:val="20"/>
                <w:szCs w:val="20"/>
              </w:rPr>
            </w:pPr>
            <w:r w:rsidRPr="009129ED">
              <w:rPr>
                <w:rFonts w:ascii="Times New Roman" w:eastAsia="Times New Roman" w:hAnsi="Times New Roman" w:cs="Times New Roman"/>
                <w:sz w:val="20"/>
                <w:szCs w:val="20"/>
              </w:rPr>
              <w:t>numerator</w:t>
            </w:r>
          </w:p>
        </w:tc>
        <w:tc>
          <w:tcPr>
            <w:tcW w:w="389" w:type="dxa"/>
          </w:tcPr>
          <w:p w:rsidR="009129ED" w:rsidRPr="009129ED" w:rsidRDefault="009129ED" w:rsidP="009129ED">
            <w:pPr>
              <w:jc w:val="center"/>
              <w:rPr>
                <w:rFonts w:ascii="Times New Roman" w:eastAsia="Times New Roman" w:hAnsi="Times New Roman" w:cs="Times New Roman"/>
                <w:sz w:val="20"/>
                <w:szCs w:val="20"/>
              </w:rPr>
            </w:pPr>
            <w:r w:rsidRPr="009129ED">
              <w:rPr>
                <w:rFonts w:ascii="Times New Roman" w:eastAsia="Times New Roman" w:hAnsi="Times New Roman" w:cs="Times New Roman"/>
                <w:sz w:val="20"/>
                <w:szCs w:val="20"/>
              </w:rPr>
              <w:t>/</w:t>
            </w:r>
          </w:p>
        </w:tc>
        <w:tc>
          <w:tcPr>
            <w:tcW w:w="2719" w:type="dxa"/>
          </w:tcPr>
          <w:p w:rsidR="009129ED" w:rsidRPr="009129ED" w:rsidRDefault="005E2D62" w:rsidP="009129ED">
            <w:pPr>
              <w:jc w:val="center"/>
              <w:rPr>
                <w:rFonts w:ascii="Times New Roman" w:eastAsia="Times New Roman" w:hAnsi="Times New Roman" w:cs="Times New Roman"/>
                <w:sz w:val="20"/>
                <w:szCs w:val="20"/>
              </w:rPr>
            </w:pPr>
            <w:bookmarkStart w:id="0" w:name="_GoBack"/>
            <w:bookmarkEnd w:id="0"/>
            <w:r w:rsidRPr="009129ED">
              <w:rPr>
                <w:rFonts w:ascii="Times New Roman" w:eastAsia="Times New Roman" w:hAnsi="Times New Roman" w:cs="Times New Roman"/>
                <w:sz w:val="20"/>
                <w:szCs w:val="20"/>
              </w:rPr>
              <w:t>denominator</w:t>
            </w:r>
          </w:p>
        </w:tc>
        <w:tc>
          <w:tcPr>
            <w:tcW w:w="521" w:type="dxa"/>
            <w:gridSpan w:val="2"/>
          </w:tcPr>
          <w:p w:rsidR="009129ED" w:rsidRPr="009129ED" w:rsidRDefault="009129ED" w:rsidP="009129ED">
            <w:pPr>
              <w:jc w:val="center"/>
              <w:rPr>
                <w:rFonts w:ascii="Times New Roman" w:eastAsia="Times New Roman" w:hAnsi="Times New Roman" w:cs="Times New Roman"/>
                <w:sz w:val="20"/>
                <w:szCs w:val="20"/>
              </w:rPr>
            </w:pPr>
            <w:r w:rsidRPr="009129ED">
              <w:rPr>
                <w:rFonts w:ascii="Times New Roman" w:eastAsia="Times New Roman" w:hAnsi="Times New Roman" w:cs="Times New Roman"/>
                <w:sz w:val="20"/>
                <w:szCs w:val="20"/>
              </w:rPr>
              <w:t>=</w:t>
            </w:r>
          </w:p>
        </w:tc>
        <w:tc>
          <w:tcPr>
            <w:tcW w:w="2597" w:type="dxa"/>
          </w:tcPr>
          <w:p w:rsidR="009129ED" w:rsidRPr="009129ED" w:rsidRDefault="005E2D62" w:rsidP="009129ED">
            <w:pPr>
              <w:jc w:val="center"/>
              <w:rPr>
                <w:rFonts w:ascii="Times New Roman" w:eastAsia="Times New Roman" w:hAnsi="Times New Roman" w:cs="Times New Roman"/>
                <w:sz w:val="20"/>
                <w:szCs w:val="20"/>
              </w:rPr>
            </w:pPr>
            <w:r w:rsidRPr="009129ED">
              <w:rPr>
                <w:rFonts w:ascii="Times New Roman" w:eastAsia="Times New Roman" w:hAnsi="Times New Roman" w:cs="Times New Roman"/>
                <w:sz w:val="20"/>
                <w:szCs w:val="20"/>
              </w:rPr>
              <w:t>Earnings</w:t>
            </w:r>
            <w:r w:rsidR="009129ED" w:rsidRPr="009129ED">
              <w:rPr>
                <w:rFonts w:ascii="Times New Roman" w:eastAsia="Times New Roman" w:hAnsi="Times New Roman" w:cs="Times New Roman"/>
                <w:sz w:val="20"/>
                <w:szCs w:val="20"/>
              </w:rPr>
              <w:t xml:space="preserve"> per share</w:t>
            </w:r>
          </w:p>
        </w:tc>
      </w:tr>
      <w:tr w:rsidR="009129ED" w:rsidRPr="009129ED" w:rsidTr="009129ED">
        <w:tc>
          <w:tcPr>
            <w:tcW w:w="1558" w:type="dxa"/>
          </w:tcPr>
          <w:p w:rsidR="009129ED" w:rsidRPr="009129ED" w:rsidRDefault="009129ED">
            <w:pPr>
              <w:rPr>
                <w:rFonts w:ascii="Times New Roman" w:eastAsia="Times New Roman" w:hAnsi="Times New Roman" w:cs="Times New Roman"/>
                <w:sz w:val="20"/>
                <w:szCs w:val="20"/>
              </w:rPr>
            </w:pPr>
            <w:r w:rsidRPr="009129ED">
              <w:rPr>
                <w:rFonts w:ascii="Times New Roman" w:eastAsia="Times New Roman" w:hAnsi="Times New Roman" w:cs="Times New Roman"/>
                <w:sz w:val="20"/>
                <w:szCs w:val="20"/>
              </w:rPr>
              <w:t>basic</w:t>
            </w:r>
          </w:p>
        </w:tc>
        <w:tc>
          <w:tcPr>
            <w:tcW w:w="1558" w:type="dxa"/>
          </w:tcPr>
          <w:p w:rsidR="009129ED" w:rsidRPr="009129ED" w:rsidRDefault="009129ED">
            <w:pPr>
              <w:rPr>
                <w:rFonts w:ascii="Times New Roman" w:eastAsia="Times New Roman" w:hAnsi="Times New Roman" w:cs="Times New Roman"/>
                <w:sz w:val="20"/>
                <w:szCs w:val="20"/>
              </w:rPr>
            </w:pPr>
          </w:p>
        </w:tc>
        <w:tc>
          <w:tcPr>
            <w:tcW w:w="389" w:type="dxa"/>
          </w:tcPr>
          <w:p w:rsidR="009129ED" w:rsidRPr="009129ED" w:rsidRDefault="009129ED">
            <w:pPr>
              <w:rPr>
                <w:rFonts w:ascii="Times New Roman" w:eastAsia="Times New Roman" w:hAnsi="Times New Roman" w:cs="Times New Roman"/>
                <w:sz w:val="20"/>
                <w:szCs w:val="20"/>
              </w:rPr>
            </w:pPr>
          </w:p>
        </w:tc>
        <w:tc>
          <w:tcPr>
            <w:tcW w:w="2727" w:type="dxa"/>
            <w:gridSpan w:val="2"/>
          </w:tcPr>
          <w:p w:rsidR="009129ED" w:rsidRPr="009129ED" w:rsidRDefault="009129ED">
            <w:pPr>
              <w:rPr>
                <w:rFonts w:ascii="Times New Roman" w:eastAsia="Times New Roman" w:hAnsi="Times New Roman" w:cs="Times New Roman"/>
                <w:sz w:val="20"/>
                <w:szCs w:val="20"/>
              </w:rPr>
            </w:pPr>
          </w:p>
        </w:tc>
        <w:tc>
          <w:tcPr>
            <w:tcW w:w="513" w:type="dxa"/>
          </w:tcPr>
          <w:p w:rsidR="009129ED" w:rsidRPr="009129ED" w:rsidRDefault="009129ED">
            <w:pPr>
              <w:rPr>
                <w:rFonts w:ascii="Times New Roman" w:eastAsia="Times New Roman" w:hAnsi="Times New Roman" w:cs="Times New Roman"/>
                <w:sz w:val="20"/>
                <w:szCs w:val="20"/>
              </w:rPr>
            </w:pPr>
          </w:p>
        </w:tc>
        <w:tc>
          <w:tcPr>
            <w:tcW w:w="2605" w:type="dxa"/>
            <w:gridSpan w:val="2"/>
          </w:tcPr>
          <w:p w:rsidR="009129ED" w:rsidRPr="009129ED" w:rsidRDefault="009129ED">
            <w:pPr>
              <w:rPr>
                <w:rFonts w:ascii="Times New Roman" w:eastAsia="Times New Roman" w:hAnsi="Times New Roman" w:cs="Times New Roman"/>
                <w:sz w:val="20"/>
                <w:szCs w:val="20"/>
              </w:rPr>
            </w:pPr>
          </w:p>
        </w:tc>
      </w:tr>
      <w:tr w:rsidR="009129ED" w:rsidRPr="009129ED" w:rsidTr="009129ED">
        <w:tc>
          <w:tcPr>
            <w:tcW w:w="1558" w:type="dxa"/>
          </w:tcPr>
          <w:p w:rsidR="009129ED" w:rsidRPr="009129ED" w:rsidRDefault="009129ED">
            <w:pPr>
              <w:rPr>
                <w:rFonts w:ascii="Times New Roman" w:eastAsia="Times New Roman" w:hAnsi="Times New Roman" w:cs="Times New Roman"/>
                <w:sz w:val="20"/>
                <w:szCs w:val="20"/>
              </w:rPr>
            </w:pPr>
            <w:r w:rsidRPr="009129ED">
              <w:rPr>
                <w:rFonts w:ascii="Times New Roman" w:eastAsia="Times New Roman" w:hAnsi="Times New Roman" w:cs="Times New Roman"/>
                <w:sz w:val="20"/>
                <w:szCs w:val="20"/>
              </w:rPr>
              <w:t>diluted</w:t>
            </w:r>
          </w:p>
        </w:tc>
        <w:tc>
          <w:tcPr>
            <w:tcW w:w="1558" w:type="dxa"/>
          </w:tcPr>
          <w:p w:rsidR="009129ED" w:rsidRPr="009129ED" w:rsidRDefault="009129ED">
            <w:pPr>
              <w:rPr>
                <w:rFonts w:ascii="Times New Roman" w:eastAsia="Times New Roman" w:hAnsi="Times New Roman" w:cs="Times New Roman"/>
                <w:sz w:val="20"/>
                <w:szCs w:val="20"/>
              </w:rPr>
            </w:pPr>
          </w:p>
        </w:tc>
        <w:tc>
          <w:tcPr>
            <w:tcW w:w="389" w:type="dxa"/>
          </w:tcPr>
          <w:p w:rsidR="009129ED" w:rsidRPr="009129ED" w:rsidRDefault="009129ED">
            <w:pPr>
              <w:rPr>
                <w:rFonts w:ascii="Times New Roman" w:eastAsia="Times New Roman" w:hAnsi="Times New Roman" w:cs="Times New Roman"/>
                <w:sz w:val="20"/>
                <w:szCs w:val="20"/>
              </w:rPr>
            </w:pPr>
          </w:p>
        </w:tc>
        <w:tc>
          <w:tcPr>
            <w:tcW w:w="2727" w:type="dxa"/>
            <w:gridSpan w:val="2"/>
          </w:tcPr>
          <w:p w:rsidR="009129ED" w:rsidRPr="009129ED" w:rsidRDefault="009129ED">
            <w:pPr>
              <w:rPr>
                <w:rFonts w:ascii="Times New Roman" w:eastAsia="Times New Roman" w:hAnsi="Times New Roman" w:cs="Times New Roman"/>
                <w:sz w:val="20"/>
                <w:szCs w:val="20"/>
              </w:rPr>
            </w:pPr>
          </w:p>
        </w:tc>
        <w:tc>
          <w:tcPr>
            <w:tcW w:w="513" w:type="dxa"/>
          </w:tcPr>
          <w:p w:rsidR="009129ED" w:rsidRPr="009129ED" w:rsidRDefault="009129ED">
            <w:pPr>
              <w:rPr>
                <w:rFonts w:ascii="Times New Roman" w:eastAsia="Times New Roman" w:hAnsi="Times New Roman" w:cs="Times New Roman"/>
                <w:sz w:val="20"/>
                <w:szCs w:val="20"/>
              </w:rPr>
            </w:pPr>
          </w:p>
        </w:tc>
        <w:tc>
          <w:tcPr>
            <w:tcW w:w="2605" w:type="dxa"/>
            <w:gridSpan w:val="2"/>
          </w:tcPr>
          <w:p w:rsidR="009129ED" w:rsidRPr="009129ED" w:rsidRDefault="009129ED">
            <w:pPr>
              <w:rPr>
                <w:rFonts w:ascii="Times New Roman" w:eastAsia="Times New Roman" w:hAnsi="Times New Roman" w:cs="Times New Roman"/>
                <w:sz w:val="20"/>
                <w:szCs w:val="20"/>
              </w:rPr>
            </w:pPr>
          </w:p>
        </w:tc>
      </w:tr>
    </w:tbl>
    <w:p w:rsidR="00EB27B8" w:rsidRPr="009129ED" w:rsidRDefault="002A03B3">
      <w:pPr>
        <w:rPr>
          <w:rFonts w:ascii="Times New Roman" w:eastAsia="Times New Roman" w:hAnsi="Times New Roman" w:cs="Times New Roman"/>
          <w:sz w:val="20"/>
          <w:szCs w:val="20"/>
        </w:rPr>
      </w:pPr>
    </w:p>
    <w:p w:rsidR="009129ED" w:rsidRPr="009129ED" w:rsidRDefault="009129ED" w:rsidP="009129ED">
      <w:pPr>
        <w:pStyle w:val="ListParagraph"/>
        <w:numPr>
          <w:ilvl w:val="0"/>
          <w:numId w:val="1"/>
        </w:numPr>
        <w:rPr>
          <w:rFonts w:ascii="Arial" w:eastAsia="Times New Roman" w:hAnsi="Arial" w:cs="Arial"/>
          <w:color w:val="252525"/>
          <w:sz w:val="20"/>
          <w:szCs w:val="20"/>
        </w:rPr>
      </w:pPr>
      <w:r w:rsidRPr="009129ED">
        <w:rPr>
          <w:rFonts w:ascii="Arial" w:eastAsia="Times New Roman" w:hAnsi="Arial" w:cs="Arial"/>
          <w:color w:val="252525"/>
          <w:sz w:val="20"/>
          <w:szCs w:val="20"/>
        </w:rPr>
        <w:t>Information from the financial statements of Ames Fabricators, Inc., included the following:</w:t>
      </w:r>
      <w:r w:rsidRPr="009129ED">
        <w:rPr>
          <w:rFonts w:ascii="Arial" w:eastAsia="Times New Roman" w:hAnsi="Arial" w:cs="Arial"/>
          <w:color w:val="252525"/>
          <w:sz w:val="20"/>
          <w:szCs w:val="20"/>
        </w:rPr>
        <w:br/>
        <w:t>    </w:t>
      </w:r>
    </w:p>
    <w:tbl>
      <w:tblPr>
        <w:tblW w:w="9825" w:type="dxa"/>
        <w:tblCellSpacing w:w="0" w:type="dxa"/>
        <w:tblCellMar>
          <w:left w:w="0" w:type="dxa"/>
          <w:right w:w="0" w:type="dxa"/>
        </w:tblCellMar>
        <w:tblLook w:val="04A0" w:firstRow="1" w:lastRow="0" w:firstColumn="1" w:lastColumn="0" w:noHBand="0" w:noVBand="1"/>
      </w:tblPr>
      <w:tblGrid>
        <w:gridCol w:w="7289"/>
        <w:gridCol w:w="150"/>
        <w:gridCol w:w="858"/>
        <w:gridCol w:w="223"/>
        <w:gridCol w:w="150"/>
        <w:gridCol w:w="858"/>
        <w:gridCol w:w="297"/>
      </w:tblGrid>
      <w:tr w:rsidR="009129ED" w:rsidRPr="009129ED" w:rsidTr="009129ED">
        <w:trPr>
          <w:tblCellSpacing w:w="0" w:type="dxa"/>
        </w:trPr>
        <w:tc>
          <w:tcPr>
            <w:tcW w:w="0" w:type="auto"/>
            <w:shd w:val="clear" w:color="auto" w:fill="D7DCE6"/>
            <w:vAlign w:val="center"/>
            <w:hideMark/>
          </w:tcPr>
          <w:p w:rsidR="009129ED" w:rsidRPr="009129ED" w:rsidRDefault="009129ED" w:rsidP="009129ED">
            <w:pPr>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 </w:t>
            </w:r>
          </w:p>
        </w:tc>
        <w:tc>
          <w:tcPr>
            <w:tcW w:w="0" w:type="auto"/>
            <w:gridSpan w:val="6"/>
            <w:tcBorders>
              <w:bottom w:val="single" w:sz="6" w:space="0" w:color="000000"/>
            </w:tcBorders>
            <w:shd w:val="clear" w:color="auto" w:fill="D7DCE6"/>
            <w:vAlign w:val="center"/>
            <w:hideMark/>
          </w:tcPr>
          <w:p w:rsidR="009129ED" w:rsidRPr="009129ED" w:rsidRDefault="009129ED" w:rsidP="009129ED">
            <w:pPr>
              <w:jc w:val="center"/>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December 31</w:t>
            </w:r>
          </w:p>
        </w:tc>
      </w:tr>
      <w:tr w:rsidR="009129ED" w:rsidRPr="009129ED" w:rsidTr="009129ED">
        <w:trPr>
          <w:tblCellSpacing w:w="0" w:type="dxa"/>
        </w:trPr>
        <w:tc>
          <w:tcPr>
            <w:tcW w:w="7350" w:type="dxa"/>
            <w:shd w:val="clear" w:color="auto" w:fill="D7DCE6"/>
            <w:tcMar>
              <w:top w:w="0" w:type="dxa"/>
              <w:left w:w="225" w:type="dxa"/>
              <w:bottom w:w="0" w:type="dxa"/>
              <w:right w:w="0" w:type="dxa"/>
            </w:tcMar>
            <w:vAlign w:val="center"/>
            <w:hideMark/>
          </w:tcPr>
          <w:p w:rsidR="009129ED" w:rsidRPr="009129ED" w:rsidRDefault="009129ED" w:rsidP="009129ED">
            <w:pPr>
              <w:jc w:val="center"/>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 </w:t>
            </w:r>
          </w:p>
        </w:tc>
        <w:tc>
          <w:tcPr>
            <w:tcW w:w="150" w:type="dxa"/>
            <w:shd w:val="clear" w:color="auto" w:fill="D7DCE6"/>
            <w:vAlign w:val="center"/>
            <w:hideMark/>
          </w:tcPr>
          <w:p w:rsidR="009129ED" w:rsidRPr="009129ED" w:rsidRDefault="009129ED" w:rsidP="009129ED">
            <w:pPr>
              <w:jc w:val="center"/>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 </w:t>
            </w:r>
          </w:p>
        </w:tc>
        <w:tc>
          <w:tcPr>
            <w:tcW w:w="825" w:type="dxa"/>
            <w:shd w:val="clear" w:color="auto" w:fill="D7DCE6"/>
            <w:vAlign w:val="center"/>
            <w:hideMark/>
          </w:tcPr>
          <w:p w:rsidR="009129ED" w:rsidRPr="009129ED" w:rsidRDefault="009129ED" w:rsidP="009129ED">
            <w:pPr>
              <w:jc w:val="center"/>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2021</w:t>
            </w:r>
          </w:p>
        </w:tc>
        <w:tc>
          <w:tcPr>
            <w:tcW w:w="225" w:type="dxa"/>
            <w:shd w:val="clear" w:color="auto" w:fill="D7DCE6"/>
            <w:vAlign w:val="center"/>
            <w:hideMark/>
          </w:tcPr>
          <w:p w:rsidR="009129ED" w:rsidRPr="009129ED" w:rsidRDefault="009129ED" w:rsidP="009129ED">
            <w:pPr>
              <w:jc w:val="center"/>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 </w:t>
            </w:r>
          </w:p>
        </w:tc>
        <w:tc>
          <w:tcPr>
            <w:tcW w:w="150" w:type="dxa"/>
            <w:shd w:val="clear" w:color="auto" w:fill="D7DCE6"/>
            <w:vAlign w:val="center"/>
            <w:hideMark/>
          </w:tcPr>
          <w:p w:rsidR="009129ED" w:rsidRPr="009129ED" w:rsidRDefault="009129ED" w:rsidP="009129ED">
            <w:pPr>
              <w:jc w:val="center"/>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 </w:t>
            </w:r>
          </w:p>
        </w:tc>
        <w:tc>
          <w:tcPr>
            <w:tcW w:w="825" w:type="dxa"/>
            <w:shd w:val="clear" w:color="auto" w:fill="D7DCE6"/>
            <w:vAlign w:val="center"/>
            <w:hideMark/>
          </w:tcPr>
          <w:p w:rsidR="009129ED" w:rsidRPr="009129ED" w:rsidRDefault="009129ED" w:rsidP="009129ED">
            <w:pPr>
              <w:jc w:val="center"/>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2020</w:t>
            </w:r>
          </w:p>
        </w:tc>
        <w:tc>
          <w:tcPr>
            <w:tcW w:w="300" w:type="dxa"/>
            <w:shd w:val="clear" w:color="auto" w:fill="D7DCE6"/>
            <w:vAlign w:val="center"/>
            <w:hideMark/>
          </w:tcPr>
          <w:p w:rsidR="009129ED" w:rsidRPr="009129ED" w:rsidRDefault="009129ED" w:rsidP="009129ED">
            <w:pPr>
              <w:jc w:val="center"/>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 </w:t>
            </w:r>
          </w:p>
        </w:tc>
      </w:tr>
      <w:tr w:rsidR="009129ED" w:rsidRPr="009129ED" w:rsidTr="009129ED">
        <w:trPr>
          <w:tblCellSpacing w:w="0" w:type="dxa"/>
        </w:trPr>
        <w:tc>
          <w:tcPr>
            <w:tcW w:w="0" w:type="auto"/>
            <w:tcMar>
              <w:top w:w="0" w:type="dxa"/>
              <w:left w:w="225" w:type="dxa"/>
              <w:bottom w:w="0" w:type="dxa"/>
              <w:right w:w="0" w:type="dxa"/>
            </w:tcMar>
            <w:vAlign w:val="center"/>
            <w:hideMark/>
          </w:tcPr>
          <w:p w:rsidR="009129ED" w:rsidRPr="009129ED" w:rsidRDefault="009129ED" w:rsidP="009129ED">
            <w:pPr>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Common shares</w:t>
            </w:r>
          </w:p>
        </w:tc>
        <w:tc>
          <w:tcPr>
            <w:tcW w:w="0" w:type="auto"/>
            <w:vAlign w:val="center"/>
            <w:hideMark/>
          </w:tcPr>
          <w:p w:rsidR="009129ED" w:rsidRPr="009129ED" w:rsidRDefault="009129ED" w:rsidP="009129ED">
            <w:pPr>
              <w:jc w:val="center"/>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 </w:t>
            </w:r>
          </w:p>
        </w:tc>
        <w:tc>
          <w:tcPr>
            <w:tcW w:w="0" w:type="auto"/>
            <w:vAlign w:val="center"/>
            <w:hideMark/>
          </w:tcPr>
          <w:p w:rsidR="009129ED" w:rsidRPr="009129ED" w:rsidRDefault="009129ED" w:rsidP="009129ED">
            <w:pPr>
              <w:jc w:val="right"/>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100,000</w:t>
            </w:r>
          </w:p>
        </w:tc>
        <w:tc>
          <w:tcPr>
            <w:tcW w:w="0" w:type="auto"/>
            <w:vAlign w:val="center"/>
            <w:hideMark/>
          </w:tcPr>
          <w:p w:rsidR="009129ED" w:rsidRPr="009129ED" w:rsidRDefault="009129ED" w:rsidP="009129ED">
            <w:pPr>
              <w:jc w:val="right"/>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 </w:t>
            </w:r>
          </w:p>
        </w:tc>
        <w:tc>
          <w:tcPr>
            <w:tcW w:w="0" w:type="auto"/>
            <w:vAlign w:val="center"/>
            <w:hideMark/>
          </w:tcPr>
          <w:p w:rsidR="009129ED" w:rsidRPr="009129ED" w:rsidRDefault="009129ED" w:rsidP="009129ED">
            <w:pPr>
              <w:jc w:val="right"/>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 </w:t>
            </w:r>
          </w:p>
        </w:tc>
        <w:tc>
          <w:tcPr>
            <w:tcW w:w="0" w:type="auto"/>
            <w:vAlign w:val="center"/>
            <w:hideMark/>
          </w:tcPr>
          <w:p w:rsidR="009129ED" w:rsidRPr="009129ED" w:rsidRDefault="009129ED" w:rsidP="009129ED">
            <w:pPr>
              <w:jc w:val="right"/>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100,000</w:t>
            </w:r>
          </w:p>
        </w:tc>
        <w:tc>
          <w:tcPr>
            <w:tcW w:w="0" w:type="auto"/>
            <w:vAlign w:val="center"/>
            <w:hideMark/>
          </w:tcPr>
          <w:p w:rsidR="009129ED" w:rsidRPr="009129ED" w:rsidRDefault="009129ED" w:rsidP="009129ED">
            <w:pPr>
              <w:jc w:val="center"/>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 </w:t>
            </w:r>
          </w:p>
        </w:tc>
      </w:tr>
      <w:tr w:rsidR="009129ED" w:rsidRPr="009129ED" w:rsidTr="009129ED">
        <w:trPr>
          <w:tblCellSpacing w:w="0" w:type="dxa"/>
        </w:trPr>
        <w:tc>
          <w:tcPr>
            <w:tcW w:w="0" w:type="auto"/>
            <w:shd w:val="clear" w:color="auto" w:fill="F7F7F7"/>
            <w:tcMar>
              <w:top w:w="0" w:type="dxa"/>
              <w:left w:w="450" w:type="dxa"/>
              <w:bottom w:w="0" w:type="dxa"/>
              <w:right w:w="0" w:type="dxa"/>
            </w:tcMar>
            <w:vAlign w:val="center"/>
            <w:hideMark/>
          </w:tcPr>
          <w:p w:rsidR="009129ED" w:rsidRPr="009129ED" w:rsidRDefault="009129ED" w:rsidP="009129ED">
            <w:pPr>
              <w:ind w:hanging="225"/>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Convertible preferred shares (convertible into 92,000 shares of common)</w:t>
            </w:r>
          </w:p>
        </w:tc>
        <w:tc>
          <w:tcPr>
            <w:tcW w:w="0" w:type="auto"/>
            <w:shd w:val="clear" w:color="auto" w:fill="F7F7F7"/>
            <w:vAlign w:val="bottom"/>
            <w:hideMark/>
          </w:tcPr>
          <w:p w:rsidR="009129ED" w:rsidRPr="009129ED" w:rsidRDefault="009129ED" w:rsidP="009129ED">
            <w:pPr>
              <w:jc w:val="center"/>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 </w:t>
            </w:r>
          </w:p>
        </w:tc>
        <w:tc>
          <w:tcPr>
            <w:tcW w:w="0" w:type="auto"/>
            <w:shd w:val="clear" w:color="auto" w:fill="F7F7F7"/>
            <w:vAlign w:val="bottom"/>
            <w:hideMark/>
          </w:tcPr>
          <w:p w:rsidR="009129ED" w:rsidRPr="009129ED" w:rsidRDefault="009129ED" w:rsidP="009129ED">
            <w:pPr>
              <w:jc w:val="right"/>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36,000</w:t>
            </w:r>
          </w:p>
        </w:tc>
        <w:tc>
          <w:tcPr>
            <w:tcW w:w="0" w:type="auto"/>
            <w:shd w:val="clear" w:color="auto" w:fill="F7F7F7"/>
            <w:vAlign w:val="bottom"/>
            <w:hideMark/>
          </w:tcPr>
          <w:p w:rsidR="009129ED" w:rsidRPr="009129ED" w:rsidRDefault="009129ED" w:rsidP="009129ED">
            <w:pPr>
              <w:jc w:val="right"/>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 </w:t>
            </w:r>
          </w:p>
        </w:tc>
        <w:tc>
          <w:tcPr>
            <w:tcW w:w="0" w:type="auto"/>
            <w:shd w:val="clear" w:color="auto" w:fill="F7F7F7"/>
            <w:vAlign w:val="bottom"/>
            <w:hideMark/>
          </w:tcPr>
          <w:p w:rsidR="009129ED" w:rsidRPr="009129ED" w:rsidRDefault="009129ED" w:rsidP="009129ED">
            <w:pPr>
              <w:jc w:val="right"/>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 </w:t>
            </w:r>
          </w:p>
        </w:tc>
        <w:tc>
          <w:tcPr>
            <w:tcW w:w="0" w:type="auto"/>
            <w:shd w:val="clear" w:color="auto" w:fill="F7F7F7"/>
            <w:vAlign w:val="bottom"/>
            <w:hideMark/>
          </w:tcPr>
          <w:p w:rsidR="009129ED" w:rsidRPr="009129ED" w:rsidRDefault="009129ED" w:rsidP="009129ED">
            <w:pPr>
              <w:jc w:val="right"/>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36,000</w:t>
            </w:r>
          </w:p>
        </w:tc>
        <w:tc>
          <w:tcPr>
            <w:tcW w:w="0" w:type="auto"/>
            <w:shd w:val="clear" w:color="auto" w:fill="F7F7F7"/>
            <w:vAlign w:val="center"/>
            <w:hideMark/>
          </w:tcPr>
          <w:p w:rsidR="009129ED" w:rsidRPr="009129ED" w:rsidRDefault="009129ED" w:rsidP="009129ED">
            <w:pPr>
              <w:jc w:val="center"/>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 </w:t>
            </w:r>
          </w:p>
        </w:tc>
      </w:tr>
      <w:tr w:rsidR="009129ED" w:rsidRPr="009129ED" w:rsidTr="009129ED">
        <w:trPr>
          <w:tblCellSpacing w:w="0" w:type="dxa"/>
        </w:trPr>
        <w:tc>
          <w:tcPr>
            <w:tcW w:w="0" w:type="auto"/>
            <w:tcMar>
              <w:top w:w="0" w:type="dxa"/>
              <w:left w:w="450" w:type="dxa"/>
              <w:bottom w:w="0" w:type="dxa"/>
              <w:right w:w="0" w:type="dxa"/>
            </w:tcMar>
            <w:vAlign w:val="center"/>
            <w:hideMark/>
          </w:tcPr>
          <w:p w:rsidR="009129ED" w:rsidRPr="009129ED" w:rsidRDefault="009129ED" w:rsidP="009129ED">
            <w:pPr>
              <w:ind w:hanging="225"/>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8% convertible bonds (convertible into 30,000 shares of common)</w:t>
            </w:r>
          </w:p>
        </w:tc>
        <w:tc>
          <w:tcPr>
            <w:tcW w:w="0" w:type="auto"/>
            <w:vAlign w:val="bottom"/>
            <w:hideMark/>
          </w:tcPr>
          <w:p w:rsidR="009129ED" w:rsidRPr="009129ED" w:rsidRDefault="009129ED" w:rsidP="009129ED">
            <w:pPr>
              <w:jc w:val="right"/>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w:t>
            </w:r>
          </w:p>
        </w:tc>
        <w:tc>
          <w:tcPr>
            <w:tcW w:w="0" w:type="auto"/>
            <w:vAlign w:val="bottom"/>
            <w:hideMark/>
          </w:tcPr>
          <w:p w:rsidR="009129ED" w:rsidRPr="009129ED" w:rsidRDefault="009129ED" w:rsidP="009129ED">
            <w:pPr>
              <w:jc w:val="right"/>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1,000,000</w:t>
            </w:r>
          </w:p>
        </w:tc>
        <w:tc>
          <w:tcPr>
            <w:tcW w:w="0" w:type="auto"/>
            <w:vAlign w:val="bottom"/>
            <w:hideMark/>
          </w:tcPr>
          <w:p w:rsidR="009129ED" w:rsidRPr="009129ED" w:rsidRDefault="009129ED" w:rsidP="009129ED">
            <w:pPr>
              <w:jc w:val="right"/>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 </w:t>
            </w:r>
          </w:p>
        </w:tc>
        <w:tc>
          <w:tcPr>
            <w:tcW w:w="0" w:type="auto"/>
            <w:vAlign w:val="bottom"/>
            <w:hideMark/>
          </w:tcPr>
          <w:p w:rsidR="009129ED" w:rsidRPr="009129ED" w:rsidRDefault="009129ED" w:rsidP="009129ED">
            <w:pPr>
              <w:jc w:val="right"/>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w:t>
            </w:r>
          </w:p>
        </w:tc>
        <w:tc>
          <w:tcPr>
            <w:tcW w:w="0" w:type="auto"/>
            <w:vAlign w:val="bottom"/>
            <w:hideMark/>
          </w:tcPr>
          <w:p w:rsidR="009129ED" w:rsidRPr="009129ED" w:rsidRDefault="009129ED" w:rsidP="009129ED">
            <w:pPr>
              <w:jc w:val="right"/>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1,000,000</w:t>
            </w:r>
          </w:p>
        </w:tc>
        <w:tc>
          <w:tcPr>
            <w:tcW w:w="0" w:type="auto"/>
            <w:vAlign w:val="center"/>
            <w:hideMark/>
          </w:tcPr>
          <w:p w:rsidR="009129ED" w:rsidRPr="009129ED" w:rsidRDefault="009129ED" w:rsidP="009129ED">
            <w:pPr>
              <w:jc w:val="center"/>
              <w:rPr>
                <w:rFonts w:ascii="inherit" w:eastAsia="Times New Roman" w:hAnsi="inherit" w:cs="Courier New"/>
                <w:color w:val="252525"/>
                <w:sz w:val="20"/>
                <w:szCs w:val="20"/>
              </w:rPr>
            </w:pPr>
            <w:r w:rsidRPr="009129ED">
              <w:rPr>
                <w:rFonts w:ascii="inherit" w:eastAsia="Times New Roman" w:hAnsi="inherit" w:cs="Courier New"/>
                <w:color w:val="252525"/>
                <w:sz w:val="20"/>
                <w:szCs w:val="20"/>
              </w:rPr>
              <w:t> </w:t>
            </w:r>
          </w:p>
        </w:tc>
      </w:tr>
      <w:tr w:rsidR="009129ED" w:rsidRPr="009129ED" w:rsidTr="009129ED">
        <w:trPr>
          <w:tblCellSpacing w:w="0" w:type="dxa"/>
        </w:trPr>
        <w:tc>
          <w:tcPr>
            <w:tcW w:w="0" w:type="auto"/>
            <w:gridSpan w:val="7"/>
            <w:vAlign w:val="center"/>
            <w:hideMark/>
          </w:tcPr>
          <w:p w:rsidR="009129ED" w:rsidRPr="009129ED" w:rsidRDefault="002A03B3" w:rsidP="009129ED">
            <w:pPr>
              <w:rPr>
                <w:rFonts w:ascii="inherit" w:eastAsia="Times New Roman" w:hAnsi="inherit" w:cs="Courier New"/>
                <w:color w:val="252525"/>
                <w:sz w:val="20"/>
                <w:szCs w:val="20"/>
              </w:rPr>
            </w:pPr>
            <w:r w:rsidRPr="002A03B3">
              <w:rPr>
                <w:rFonts w:ascii="inherit" w:eastAsia="Times New Roman" w:hAnsi="inherit" w:cs="Courier New"/>
                <w:noProof/>
                <w:color w:val="252525"/>
                <w:sz w:val="20"/>
                <w:szCs w:val="20"/>
              </w:rPr>
              <w:pict>
                <v:rect id="_x0000_i1025" alt="" style="width:491.4pt;height:.05pt;mso-width-percent:0;mso-height-percent:0;mso-width-percent:0;mso-height-percent:0" o:hrpct="910" o:hrstd="t" o:hrnoshade="t" o:hr="t" fillcolor="#cdd4e0" stroked="f"/>
              </w:pict>
            </w:r>
          </w:p>
        </w:tc>
      </w:tr>
    </w:tbl>
    <w:p w:rsidR="009129ED" w:rsidRPr="009129ED" w:rsidRDefault="009129ED" w:rsidP="009129ED">
      <w:pPr>
        <w:rPr>
          <w:rFonts w:ascii="Arial" w:eastAsia="Times New Roman" w:hAnsi="Arial" w:cs="Arial"/>
          <w:color w:val="252525"/>
          <w:sz w:val="20"/>
          <w:szCs w:val="20"/>
        </w:rPr>
      </w:pPr>
      <w:r w:rsidRPr="009129ED">
        <w:rPr>
          <w:rFonts w:ascii="Arial" w:eastAsia="Times New Roman" w:hAnsi="Arial" w:cs="Arial"/>
          <w:color w:val="252525"/>
          <w:sz w:val="20"/>
          <w:szCs w:val="20"/>
        </w:rPr>
        <w:t> </w:t>
      </w:r>
      <w:r w:rsidRPr="009129ED">
        <w:rPr>
          <w:rFonts w:ascii="Arial" w:eastAsia="Times New Roman" w:hAnsi="Arial" w:cs="Arial"/>
          <w:color w:val="252525"/>
          <w:sz w:val="20"/>
          <w:szCs w:val="20"/>
        </w:rPr>
        <w:br/>
        <w:t>Ames’s net income for the year ended December 31, 2021, is $900,000. The income tax rate is 25%. Ames paid dividends of $5 per share on its preferred stock during 2021.</w:t>
      </w:r>
      <w:r w:rsidRPr="009129ED">
        <w:rPr>
          <w:rFonts w:ascii="Arial" w:eastAsia="Times New Roman" w:hAnsi="Arial" w:cs="Arial"/>
          <w:color w:val="252525"/>
          <w:sz w:val="20"/>
          <w:szCs w:val="20"/>
        </w:rPr>
        <w:br/>
      </w:r>
      <w:r w:rsidRPr="009129ED">
        <w:rPr>
          <w:rFonts w:ascii="inherit" w:eastAsia="Times New Roman" w:hAnsi="inherit" w:cs="Arial"/>
          <w:b/>
          <w:bCs/>
          <w:color w:val="252525"/>
          <w:sz w:val="20"/>
          <w:szCs w:val="20"/>
          <w:bdr w:val="none" w:sz="0" w:space="0" w:color="auto" w:frame="1"/>
        </w:rPr>
        <w:t> </w:t>
      </w:r>
      <w:r w:rsidRPr="009129ED">
        <w:rPr>
          <w:rFonts w:ascii="inherit" w:eastAsia="Times New Roman" w:hAnsi="inherit" w:cs="Arial"/>
          <w:b/>
          <w:bCs/>
          <w:color w:val="252525"/>
          <w:sz w:val="20"/>
          <w:szCs w:val="20"/>
          <w:bdr w:val="none" w:sz="0" w:space="0" w:color="auto" w:frame="1"/>
        </w:rPr>
        <w:br/>
        <w:t>Required:</w:t>
      </w:r>
    </w:p>
    <w:p w:rsidR="009129ED" w:rsidRPr="009129ED" w:rsidRDefault="009129ED" w:rsidP="009129ED">
      <w:pPr>
        <w:rPr>
          <w:rFonts w:ascii="Arial" w:eastAsia="Times New Roman" w:hAnsi="Arial" w:cs="Arial"/>
          <w:color w:val="252525"/>
          <w:sz w:val="20"/>
          <w:szCs w:val="20"/>
        </w:rPr>
      </w:pPr>
      <w:r w:rsidRPr="009129ED">
        <w:rPr>
          <w:rFonts w:ascii="Arial" w:eastAsia="Times New Roman" w:hAnsi="Arial" w:cs="Arial"/>
          <w:color w:val="252525"/>
          <w:sz w:val="20"/>
          <w:szCs w:val="20"/>
        </w:rPr>
        <w:t>Compute basic and diluted earnings per share for the year ended December 31, 2021. </w:t>
      </w:r>
      <w:r w:rsidRPr="009129ED">
        <w:rPr>
          <w:rFonts w:ascii="inherit" w:eastAsia="Times New Roman" w:hAnsi="inherit" w:cs="Arial"/>
          <w:b/>
          <w:bCs/>
          <w:color w:val="B11111"/>
          <w:sz w:val="20"/>
          <w:szCs w:val="20"/>
          <w:bdr w:val="none" w:sz="0" w:space="0" w:color="auto" w:frame="1"/>
        </w:rPr>
        <w:t>(Enter your answers in thousands. Do not round intermediate calculations.)</w:t>
      </w:r>
    </w:p>
    <w:tbl>
      <w:tblPr>
        <w:tblStyle w:val="TableGrid"/>
        <w:tblW w:w="0" w:type="auto"/>
        <w:tblLook w:val="04A0" w:firstRow="1" w:lastRow="0" w:firstColumn="1" w:lastColumn="0" w:noHBand="0" w:noVBand="1"/>
      </w:tblPr>
      <w:tblGrid>
        <w:gridCol w:w="1558"/>
        <w:gridCol w:w="1558"/>
        <w:gridCol w:w="389"/>
        <w:gridCol w:w="2719"/>
        <w:gridCol w:w="8"/>
        <w:gridCol w:w="513"/>
        <w:gridCol w:w="2597"/>
        <w:gridCol w:w="8"/>
      </w:tblGrid>
      <w:tr w:rsidR="009129ED" w:rsidRPr="009129ED" w:rsidTr="00506DC8">
        <w:trPr>
          <w:gridAfter w:val="1"/>
          <w:wAfter w:w="8" w:type="dxa"/>
        </w:trPr>
        <w:tc>
          <w:tcPr>
            <w:tcW w:w="1558" w:type="dxa"/>
          </w:tcPr>
          <w:p w:rsidR="009129ED" w:rsidRPr="009129ED" w:rsidRDefault="009129ED" w:rsidP="00506DC8">
            <w:pPr>
              <w:rPr>
                <w:rFonts w:ascii="Times New Roman" w:eastAsia="Times New Roman" w:hAnsi="Times New Roman" w:cs="Times New Roman"/>
                <w:sz w:val="20"/>
                <w:szCs w:val="20"/>
              </w:rPr>
            </w:pPr>
          </w:p>
        </w:tc>
        <w:tc>
          <w:tcPr>
            <w:tcW w:w="1558" w:type="dxa"/>
          </w:tcPr>
          <w:p w:rsidR="009129ED" w:rsidRPr="009129ED" w:rsidRDefault="009129ED" w:rsidP="00506DC8">
            <w:pPr>
              <w:jc w:val="center"/>
              <w:rPr>
                <w:rFonts w:ascii="Times New Roman" w:eastAsia="Times New Roman" w:hAnsi="Times New Roman" w:cs="Times New Roman"/>
                <w:sz w:val="20"/>
                <w:szCs w:val="20"/>
              </w:rPr>
            </w:pPr>
            <w:r w:rsidRPr="009129ED">
              <w:rPr>
                <w:rFonts w:ascii="Times New Roman" w:eastAsia="Times New Roman" w:hAnsi="Times New Roman" w:cs="Times New Roman"/>
                <w:sz w:val="20"/>
                <w:szCs w:val="20"/>
              </w:rPr>
              <w:t>numerator</w:t>
            </w:r>
          </w:p>
        </w:tc>
        <w:tc>
          <w:tcPr>
            <w:tcW w:w="389" w:type="dxa"/>
          </w:tcPr>
          <w:p w:rsidR="009129ED" w:rsidRPr="009129ED" w:rsidRDefault="009129ED" w:rsidP="00506DC8">
            <w:pPr>
              <w:jc w:val="center"/>
              <w:rPr>
                <w:rFonts w:ascii="Times New Roman" w:eastAsia="Times New Roman" w:hAnsi="Times New Roman" w:cs="Times New Roman"/>
                <w:sz w:val="20"/>
                <w:szCs w:val="20"/>
              </w:rPr>
            </w:pPr>
            <w:r w:rsidRPr="009129ED">
              <w:rPr>
                <w:rFonts w:ascii="Times New Roman" w:eastAsia="Times New Roman" w:hAnsi="Times New Roman" w:cs="Times New Roman"/>
                <w:sz w:val="20"/>
                <w:szCs w:val="20"/>
              </w:rPr>
              <w:t>/</w:t>
            </w:r>
          </w:p>
        </w:tc>
        <w:tc>
          <w:tcPr>
            <w:tcW w:w="2719" w:type="dxa"/>
          </w:tcPr>
          <w:p w:rsidR="009129ED" w:rsidRPr="009129ED" w:rsidRDefault="005E2D62" w:rsidP="00506DC8">
            <w:pPr>
              <w:jc w:val="center"/>
              <w:rPr>
                <w:rFonts w:ascii="Times New Roman" w:eastAsia="Times New Roman" w:hAnsi="Times New Roman" w:cs="Times New Roman"/>
                <w:sz w:val="20"/>
                <w:szCs w:val="20"/>
              </w:rPr>
            </w:pPr>
            <w:r w:rsidRPr="009129ED">
              <w:rPr>
                <w:rFonts w:ascii="Times New Roman" w:eastAsia="Times New Roman" w:hAnsi="Times New Roman" w:cs="Times New Roman"/>
                <w:sz w:val="20"/>
                <w:szCs w:val="20"/>
              </w:rPr>
              <w:t>denominator</w:t>
            </w:r>
          </w:p>
        </w:tc>
        <w:tc>
          <w:tcPr>
            <w:tcW w:w="521" w:type="dxa"/>
            <w:gridSpan w:val="2"/>
          </w:tcPr>
          <w:p w:rsidR="009129ED" w:rsidRPr="009129ED" w:rsidRDefault="009129ED" w:rsidP="00506DC8">
            <w:pPr>
              <w:jc w:val="center"/>
              <w:rPr>
                <w:rFonts w:ascii="Times New Roman" w:eastAsia="Times New Roman" w:hAnsi="Times New Roman" w:cs="Times New Roman"/>
                <w:sz w:val="20"/>
                <w:szCs w:val="20"/>
              </w:rPr>
            </w:pPr>
            <w:r w:rsidRPr="009129ED">
              <w:rPr>
                <w:rFonts w:ascii="Times New Roman" w:eastAsia="Times New Roman" w:hAnsi="Times New Roman" w:cs="Times New Roman"/>
                <w:sz w:val="20"/>
                <w:szCs w:val="20"/>
              </w:rPr>
              <w:t>=</w:t>
            </w:r>
          </w:p>
        </w:tc>
        <w:tc>
          <w:tcPr>
            <w:tcW w:w="2597" w:type="dxa"/>
          </w:tcPr>
          <w:p w:rsidR="009129ED" w:rsidRPr="009129ED" w:rsidRDefault="005E2D62" w:rsidP="00506DC8">
            <w:pPr>
              <w:jc w:val="center"/>
              <w:rPr>
                <w:rFonts w:ascii="Times New Roman" w:eastAsia="Times New Roman" w:hAnsi="Times New Roman" w:cs="Times New Roman"/>
                <w:sz w:val="20"/>
                <w:szCs w:val="20"/>
              </w:rPr>
            </w:pPr>
            <w:r w:rsidRPr="009129ED">
              <w:rPr>
                <w:rFonts w:ascii="Times New Roman" w:eastAsia="Times New Roman" w:hAnsi="Times New Roman" w:cs="Times New Roman"/>
                <w:sz w:val="20"/>
                <w:szCs w:val="20"/>
              </w:rPr>
              <w:t>Earnings</w:t>
            </w:r>
            <w:r w:rsidR="009129ED" w:rsidRPr="009129ED">
              <w:rPr>
                <w:rFonts w:ascii="Times New Roman" w:eastAsia="Times New Roman" w:hAnsi="Times New Roman" w:cs="Times New Roman"/>
                <w:sz w:val="20"/>
                <w:szCs w:val="20"/>
              </w:rPr>
              <w:t xml:space="preserve"> per share</w:t>
            </w:r>
          </w:p>
        </w:tc>
      </w:tr>
      <w:tr w:rsidR="009129ED" w:rsidRPr="009129ED" w:rsidTr="00506DC8">
        <w:tc>
          <w:tcPr>
            <w:tcW w:w="1558" w:type="dxa"/>
          </w:tcPr>
          <w:p w:rsidR="009129ED" w:rsidRPr="009129ED" w:rsidRDefault="009129ED" w:rsidP="00506DC8">
            <w:pPr>
              <w:rPr>
                <w:rFonts w:ascii="Times New Roman" w:eastAsia="Times New Roman" w:hAnsi="Times New Roman" w:cs="Times New Roman"/>
                <w:sz w:val="20"/>
                <w:szCs w:val="20"/>
              </w:rPr>
            </w:pPr>
            <w:r w:rsidRPr="009129ED">
              <w:rPr>
                <w:rFonts w:ascii="Times New Roman" w:eastAsia="Times New Roman" w:hAnsi="Times New Roman" w:cs="Times New Roman"/>
                <w:sz w:val="20"/>
                <w:szCs w:val="20"/>
              </w:rPr>
              <w:t>basic</w:t>
            </w:r>
          </w:p>
        </w:tc>
        <w:tc>
          <w:tcPr>
            <w:tcW w:w="1558" w:type="dxa"/>
          </w:tcPr>
          <w:p w:rsidR="009129ED" w:rsidRPr="009129ED" w:rsidRDefault="009129ED" w:rsidP="00506DC8">
            <w:pPr>
              <w:rPr>
                <w:rFonts w:ascii="Times New Roman" w:eastAsia="Times New Roman" w:hAnsi="Times New Roman" w:cs="Times New Roman"/>
                <w:sz w:val="20"/>
                <w:szCs w:val="20"/>
              </w:rPr>
            </w:pPr>
          </w:p>
        </w:tc>
        <w:tc>
          <w:tcPr>
            <w:tcW w:w="389" w:type="dxa"/>
          </w:tcPr>
          <w:p w:rsidR="009129ED" w:rsidRPr="009129ED" w:rsidRDefault="009129ED" w:rsidP="00506DC8">
            <w:pPr>
              <w:rPr>
                <w:rFonts w:ascii="Times New Roman" w:eastAsia="Times New Roman" w:hAnsi="Times New Roman" w:cs="Times New Roman"/>
                <w:sz w:val="20"/>
                <w:szCs w:val="20"/>
              </w:rPr>
            </w:pPr>
          </w:p>
        </w:tc>
        <w:tc>
          <w:tcPr>
            <w:tcW w:w="2727" w:type="dxa"/>
            <w:gridSpan w:val="2"/>
          </w:tcPr>
          <w:p w:rsidR="009129ED" w:rsidRPr="009129ED" w:rsidRDefault="009129ED" w:rsidP="00506DC8">
            <w:pPr>
              <w:rPr>
                <w:rFonts w:ascii="Times New Roman" w:eastAsia="Times New Roman" w:hAnsi="Times New Roman" w:cs="Times New Roman"/>
                <w:sz w:val="20"/>
                <w:szCs w:val="20"/>
              </w:rPr>
            </w:pPr>
          </w:p>
        </w:tc>
        <w:tc>
          <w:tcPr>
            <w:tcW w:w="513" w:type="dxa"/>
          </w:tcPr>
          <w:p w:rsidR="009129ED" w:rsidRPr="009129ED" w:rsidRDefault="009129ED" w:rsidP="00506DC8">
            <w:pPr>
              <w:rPr>
                <w:rFonts w:ascii="Times New Roman" w:eastAsia="Times New Roman" w:hAnsi="Times New Roman" w:cs="Times New Roman"/>
                <w:sz w:val="20"/>
                <w:szCs w:val="20"/>
              </w:rPr>
            </w:pPr>
          </w:p>
        </w:tc>
        <w:tc>
          <w:tcPr>
            <w:tcW w:w="2605" w:type="dxa"/>
            <w:gridSpan w:val="2"/>
          </w:tcPr>
          <w:p w:rsidR="009129ED" w:rsidRPr="009129ED" w:rsidRDefault="009129ED" w:rsidP="00506DC8">
            <w:pPr>
              <w:rPr>
                <w:rFonts w:ascii="Times New Roman" w:eastAsia="Times New Roman" w:hAnsi="Times New Roman" w:cs="Times New Roman"/>
                <w:sz w:val="20"/>
                <w:szCs w:val="20"/>
              </w:rPr>
            </w:pPr>
          </w:p>
        </w:tc>
      </w:tr>
      <w:tr w:rsidR="009129ED" w:rsidRPr="009129ED" w:rsidTr="00506DC8">
        <w:tc>
          <w:tcPr>
            <w:tcW w:w="1558" w:type="dxa"/>
          </w:tcPr>
          <w:p w:rsidR="009129ED" w:rsidRPr="009129ED" w:rsidRDefault="009129ED" w:rsidP="00506DC8">
            <w:pPr>
              <w:rPr>
                <w:rFonts w:ascii="Times New Roman" w:eastAsia="Times New Roman" w:hAnsi="Times New Roman" w:cs="Times New Roman"/>
                <w:sz w:val="20"/>
                <w:szCs w:val="20"/>
              </w:rPr>
            </w:pPr>
            <w:r w:rsidRPr="009129ED">
              <w:rPr>
                <w:rFonts w:ascii="Times New Roman" w:eastAsia="Times New Roman" w:hAnsi="Times New Roman" w:cs="Times New Roman"/>
                <w:sz w:val="20"/>
                <w:szCs w:val="20"/>
              </w:rPr>
              <w:t>diluted</w:t>
            </w:r>
          </w:p>
        </w:tc>
        <w:tc>
          <w:tcPr>
            <w:tcW w:w="1558" w:type="dxa"/>
          </w:tcPr>
          <w:p w:rsidR="009129ED" w:rsidRPr="009129ED" w:rsidRDefault="009129ED" w:rsidP="00506DC8">
            <w:pPr>
              <w:rPr>
                <w:rFonts w:ascii="Times New Roman" w:eastAsia="Times New Roman" w:hAnsi="Times New Roman" w:cs="Times New Roman"/>
                <w:sz w:val="20"/>
                <w:szCs w:val="20"/>
              </w:rPr>
            </w:pPr>
          </w:p>
        </w:tc>
        <w:tc>
          <w:tcPr>
            <w:tcW w:w="389" w:type="dxa"/>
          </w:tcPr>
          <w:p w:rsidR="009129ED" w:rsidRPr="009129ED" w:rsidRDefault="009129ED" w:rsidP="00506DC8">
            <w:pPr>
              <w:rPr>
                <w:rFonts w:ascii="Times New Roman" w:eastAsia="Times New Roman" w:hAnsi="Times New Roman" w:cs="Times New Roman"/>
                <w:sz w:val="20"/>
                <w:szCs w:val="20"/>
              </w:rPr>
            </w:pPr>
          </w:p>
        </w:tc>
        <w:tc>
          <w:tcPr>
            <w:tcW w:w="2727" w:type="dxa"/>
            <w:gridSpan w:val="2"/>
          </w:tcPr>
          <w:p w:rsidR="009129ED" w:rsidRPr="009129ED" w:rsidRDefault="009129ED" w:rsidP="00506DC8">
            <w:pPr>
              <w:rPr>
                <w:rFonts w:ascii="Times New Roman" w:eastAsia="Times New Roman" w:hAnsi="Times New Roman" w:cs="Times New Roman"/>
                <w:sz w:val="20"/>
                <w:szCs w:val="20"/>
              </w:rPr>
            </w:pPr>
          </w:p>
        </w:tc>
        <w:tc>
          <w:tcPr>
            <w:tcW w:w="513" w:type="dxa"/>
          </w:tcPr>
          <w:p w:rsidR="009129ED" w:rsidRPr="009129ED" w:rsidRDefault="009129ED" w:rsidP="00506DC8">
            <w:pPr>
              <w:rPr>
                <w:rFonts w:ascii="Times New Roman" w:eastAsia="Times New Roman" w:hAnsi="Times New Roman" w:cs="Times New Roman"/>
                <w:sz w:val="20"/>
                <w:szCs w:val="20"/>
              </w:rPr>
            </w:pPr>
          </w:p>
        </w:tc>
        <w:tc>
          <w:tcPr>
            <w:tcW w:w="2605" w:type="dxa"/>
            <w:gridSpan w:val="2"/>
          </w:tcPr>
          <w:p w:rsidR="009129ED" w:rsidRPr="009129ED" w:rsidRDefault="009129ED" w:rsidP="00506DC8">
            <w:pPr>
              <w:rPr>
                <w:rFonts w:ascii="Times New Roman" w:eastAsia="Times New Roman" w:hAnsi="Times New Roman" w:cs="Times New Roman"/>
                <w:sz w:val="20"/>
                <w:szCs w:val="20"/>
              </w:rPr>
            </w:pPr>
          </w:p>
        </w:tc>
      </w:tr>
    </w:tbl>
    <w:p w:rsidR="009129ED" w:rsidRPr="009129ED" w:rsidRDefault="009129ED" w:rsidP="009129ED">
      <w:pPr>
        <w:rPr>
          <w:rFonts w:ascii="Times New Roman" w:eastAsia="Times New Roman" w:hAnsi="Times New Roman" w:cs="Times New Roman"/>
          <w:sz w:val="20"/>
          <w:szCs w:val="20"/>
        </w:rPr>
      </w:pPr>
    </w:p>
    <w:p w:rsidR="009129ED" w:rsidRPr="009129ED" w:rsidRDefault="009129ED" w:rsidP="005E2D62">
      <w:pPr>
        <w:pStyle w:val="NormalWeb"/>
        <w:numPr>
          <w:ilvl w:val="0"/>
          <w:numId w:val="1"/>
        </w:numPr>
        <w:spacing w:before="0" w:beforeAutospacing="0" w:after="0" w:afterAutospacing="0"/>
        <w:rPr>
          <w:rFonts w:ascii="Arial" w:hAnsi="Arial" w:cs="Arial"/>
          <w:color w:val="252525"/>
          <w:sz w:val="20"/>
          <w:szCs w:val="20"/>
        </w:rPr>
      </w:pPr>
      <w:r w:rsidRPr="009129ED">
        <w:rPr>
          <w:rFonts w:ascii="Arial" w:hAnsi="Arial" w:cs="Arial"/>
          <w:color w:val="252525"/>
          <w:sz w:val="20"/>
          <w:szCs w:val="20"/>
        </w:rPr>
        <w:t>Anderson Steel Company began 2021 with 410,000 shares of common stock outstanding. On March 31, 2021, 140,000 new shares were sold at a price of $25 per share. The market price has risen steadily since that time to a high of $30 per share at December 31. No other changes in shares occurred during 2021, and no securities are outstanding that can become common stock. However, there are two agreements with officers of the company for future issuance of common stock. Both agreements relate to compensation arrangements reached in 2020. The first agreement grants to the company president a right to 14,000 shares of stock each year the closing market price is at least $28. The agreement begins in 2022 and expires in 2025. The second agreement grants to the controller a right to 19,000 shares of stock if she is still with the firm at the end of 2029. Net income for 2021 was $2,400,000.</w:t>
      </w:r>
      <w:r w:rsidRPr="009129ED">
        <w:rPr>
          <w:rFonts w:ascii="Arial" w:hAnsi="Arial" w:cs="Arial"/>
          <w:color w:val="252525"/>
          <w:sz w:val="20"/>
          <w:szCs w:val="20"/>
        </w:rPr>
        <w:br/>
      </w:r>
      <w:r w:rsidRPr="009129ED">
        <w:rPr>
          <w:rFonts w:ascii="inherit" w:hAnsi="inherit" w:cs="Arial"/>
          <w:b/>
          <w:bCs/>
          <w:color w:val="252525"/>
          <w:sz w:val="20"/>
          <w:szCs w:val="20"/>
          <w:bdr w:val="none" w:sz="0" w:space="0" w:color="auto" w:frame="1"/>
        </w:rPr>
        <w:t> </w:t>
      </w:r>
      <w:r w:rsidRPr="009129ED">
        <w:rPr>
          <w:rFonts w:ascii="inherit" w:hAnsi="inherit" w:cs="Arial"/>
          <w:b/>
          <w:bCs/>
          <w:color w:val="252525"/>
          <w:sz w:val="20"/>
          <w:szCs w:val="20"/>
          <w:bdr w:val="none" w:sz="0" w:space="0" w:color="auto" w:frame="1"/>
        </w:rPr>
        <w:br/>
        <w:t>Required:</w:t>
      </w:r>
    </w:p>
    <w:p w:rsidR="009129ED" w:rsidRPr="009129ED" w:rsidRDefault="009129ED" w:rsidP="009129ED">
      <w:pPr>
        <w:pStyle w:val="NormalWeb"/>
        <w:spacing w:before="0" w:beforeAutospacing="0" w:after="0" w:afterAutospacing="0"/>
        <w:rPr>
          <w:rFonts w:ascii="Arial" w:hAnsi="Arial" w:cs="Arial"/>
          <w:color w:val="252525"/>
          <w:sz w:val="20"/>
          <w:szCs w:val="20"/>
        </w:rPr>
      </w:pPr>
      <w:r w:rsidRPr="009129ED">
        <w:rPr>
          <w:rFonts w:ascii="Arial" w:hAnsi="Arial" w:cs="Arial"/>
          <w:color w:val="252525"/>
          <w:sz w:val="20"/>
          <w:szCs w:val="20"/>
        </w:rPr>
        <w:t>Compute Anderson Steel Company's basic and diluted earnings per share for the year ended December 31, 2021.</w:t>
      </w:r>
      <w:r w:rsidRPr="009129ED">
        <w:rPr>
          <w:rStyle w:val="apple-converted-space"/>
          <w:rFonts w:ascii="Arial" w:hAnsi="Arial" w:cs="Arial"/>
          <w:color w:val="252525"/>
          <w:sz w:val="20"/>
          <w:szCs w:val="20"/>
        </w:rPr>
        <w:t> </w:t>
      </w:r>
      <w:r w:rsidRPr="009129ED">
        <w:rPr>
          <w:rFonts w:ascii="inherit" w:hAnsi="inherit" w:cs="Arial"/>
          <w:b/>
          <w:bCs/>
          <w:color w:val="B11111"/>
          <w:sz w:val="20"/>
          <w:szCs w:val="20"/>
          <w:bdr w:val="none" w:sz="0" w:space="0" w:color="auto" w:frame="1"/>
        </w:rPr>
        <w:t>(Enter your answers in thousands. Do not round intermediate calculations.)</w:t>
      </w:r>
    </w:p>
    <w:tbl>
      <w:tblPr>
        <w:tblStyle w:val="TableGrid"/>
        <w:tblW w:w="0" w:type="auto"/>
        <w:tblLook w:val="04A0" w:firstRow="1" w:lastRow="0" w:firstColumn="1" w:lastColumn="0" w:noHBand="0" w:noVBand="1"/>
      </w:tblPr>
      <w:tblGrid>
        <w:gridCol w:w="1558"/>
        <w:gridCol w:w="1558"/>
        <w:gridCol w:w="389"/>
        <w:gridCol w:w="2719"/>
        <w:gridCol w:w="8"/>
        <w:gridCol w:w="513"/>
        <w:gridCol w:w="2597"/>
        <w:gridCol w:w="8"/>
      </w:tblGrid>
      <w:tr w:rsidR="009129ED" w:rsidRPr="009129ED" w:rsidTr="00506DC8">
        <w:trPr>
          <w:gridAfter w:val="1"/>
          <w:wAfter w:w="8" w:type="dxa"/>
        </w:trPr>
        <w:tc>
          <w:tcPr>
            <w:tcW w:w="1558" w:type="dxa"/>
          </w:tcPr>
          <w:p w:rsidR="009129ED" w:rsidRPr="009129ED" w:rsidRDefault="009129ED" w:rsidP="00506DC8">
            <w:pPr>
              <w:rPr>
                <w:rFonts w:ascii="Times New Roman" w:eastAsia="Times New Roman" w:hAnsi="Times New Roman" w:cs="Times New Roman"/>
                <w:sz w:val="20"/>
                <w:szCs w:val="20"/>
              </w:rPr>
            </w:pPr>
          </w:p>
        </w:tc>
        <w:tc>
          <w:tcPr>
            <w:tcW w:w="1558" w:type="dxa"/>
          </w:tcPr>
          <w:p w:rsidR="009129ED" w:rsidRPr="009129ED" w:rsidRDefault="009129ED" w:rsidP="00506DC8">
            <w:pPr>
              <w:jc w:val="center"/>
              <w:rPr>
                <w:rFonts w:ascii="Times New Roman" w:eastAsia="Times New Roman" w:hAnsi="Times New Roman" w:cs="Times New Roman"/>
                <w:sz w:val="20"/>
                <w:szCs w:val="20"/>
              </w:rPr>
            </w:pPr>
            <w:r w:rsidRPr="009129ED">
              <w:rPr>
                <w:rFonts w:ascii="Times New Roman" w:eastAsia="Times New Roman" w:hAnsi="Times New Roman" w:cs="Times New Roman"/>
                <w:sz w:val="20"/>
                <w:szCs w:val="20"/>
              </w:rPr>
              <w:t>numerator</w:t>
            </w:r>
          </w:p>
        </w:tc>
        <w:tc>
          <w:tcPr>
            <w:tcW w:w="389" w:type="dxa"/>
          </w:tcPr>
          <w:p w:rsidR="009129ED" w:rsidRPr="009129ED" w:rsidRDefault="009129ED" w:rsidP="00506DC8">
            <w:pPr>
              <w:jc w:val="center"/>
              <w:rPr>
                <w:rFonts w:ascii="Times New Roman" w:eastAsia="Times New Roman" w:hAnsi="Times New Roman" w:cs="Times New Roman"/>
                <w:sz w:val="20"/>
                <w:szCs w:val="20"/>
              </w:rPr>
            </w:pPr>
            <w:r w:rsidRPr="009129ED">
              <w:rPr>
                <w:rFonts w:ascii="Times New Roman" w:eastAsia="Times New Roman" w:hAnsi="Times New Roman" w:cs="Times New Roman"/>
                <w:sz w:val="20"/>
                <w:szCs w:val="20"/>
              </w:rPr>
              <w:t>/</w:t>
            </w:r>
          </w:p>
        </w:tc>
        <w:tc>
          <w:tcPr>
            <w:tcW w:w="2719" w:type="dxa"/>
          </w:tcPr>
          <w:p w:rsidR="009129ED" w:rsidRPr="009129ED" w:rsidRDefault="005E2D62" w:rsidP="00506DC8">
            <w:pPr>
              <w:jc w:val="center"/>
              <w:rPr>
                <w:rFonts w:ascii="Times New Roman" w:eastAsia="Times New Roman" w:hAnsi="Times New Roman" w:cs="Times New Roman"/>
                <w:sz w:val="20"/>
                <w:szCs w:val="20"/>
              </w:rPr>
            </w:pPr>
            <w:r w:rsidRPr="009129ED">
              <w:rPr>
                <w:rFonts w:ascii="Times New Roman" w:eastAsia="Times New Roman" w:hAnsi="Times New Roman" w:cs="Times New Roman"/>
                <w:sz w:val="20"/>
                <w:szCs w:val="20"/>
              </w:rPr>
              <w:t>denominator</w:t>
            </w:r>
          </w:p>
        </w:tc>
        <w:tc>
          <w:tcPr>
            <w:tcW w:w="521" w:type="dxa"/>
            <w:gridSpan w:val="2"/>
          </w:tcPr>
          <w:p w:rsidR="009129ED" w:rsidRPr="009129ED" w:rsidRDefault="009129ED" w:rsidP="00506DC8">
            <w:pPr>
              <w:jc w:val="center"/>
              <w:rPr>
                <w:rFonts w:ascii="Times New Roman" w:eastAsia="Times New Roman" w:hAnsi="Times New Roman" w:cs="Times New Roman"/>
                <w:sz w:val="20"/>
                <w:szCs w:val="20"/>
              </w:rPr>
            </w:pPr>
            <w:r w:rsidRPr="009129ED">
              <w:rPr>
                <w:rFonts w:ascii="Times New Roman" w:eastAsia="Times New Roman" w:hAnsi="Times New Roman" w:cs="Times New Roman"/>
                <w:sz w:val="20"/>
                <w:szCs w:val="20"/>
              </w:rPr>
              <w:t>=</w:t>
            </w:r>
          </w:p>
        </w:tc>
        <w:tc>
          <w:tcPr>
            <w:tcW w:w="2597" w:type="dxa"/>
          </w:tcPr>
          <w:p w:rsidR="009129ED" w:rsidRPr="009129ED" w:rsidRDefault="005E2D62" w:rsidP="00506DC8">
            <w:pPr>
              <w:jc w:val="center"/>
              <w:rPr>
                <w:rFonts w:ascii="Times New Roman" w:eastAsia="Times New Roman" w:hAnsi="Times New Roman" w:cs="Times New Roman"/>
                <w:sz w:val="20"/>
                <w:szCs w:val="20"/>
              </w:rPr>
            </w:pPr>
            <w:r w:rsidRPr="009129ED">
              <w:rPr>
                <w:rFonts w:ascii="Times New Roman" w:eastAsia="Times New Roman" w:hAnsi="Times New Roman" w:cs="Times New Roman"/>
                <w:sz w:val="20"/>
                <w:szCs w:val="20"/>
              </w:rPr>
              <w:t>Earnings</w:t>
            </w:r>
            <w:r w:rsidR="009129ED" w:rsidRPr="009129ED">
              <w:rPr>
                <w:rFonts w:ascii="Times New Roman" w:eastAsia="Times New Roman" w:hAnsi="Times New Roman" w:cs="Times New Roman"/>
                <w:sz w:val="20"/>
                <w:szCs w:val="20"/>
              </w:rPr>
              <w:t xml:space="preserve"> per share</w:t>
            </w:r>
          </w:p>
        </w:tc>
      </w:tr>
      <w:tr w:rsidR="009129ED" w:rsidRPr="009129ED" w:rsidTr="00506DC8">
        <w:tc>
          <w:tcPr>
            <w:tcW w:w="1558" w:type="dxa"/>
          </w:tcPr>
          <w:p w:rsidR="009129ED" w:rsidRPr="009129ED" w:rsidRDefault="009129ED" w:rsidP="00506DC8">
            <w:pPr>
              <w:rPr>
                <w:rFonts w:ascii="Times New Roman" w:eastAsia="Times New Roman" w:hAnsi="Times New Roman" w:cs="Times New Roman"/>
                <w:sz w:val="20"/>
                <w:szCs w:val="20"/>
              </w:rPr>
            </w:pPr>
            <w:r w:rsidRPr="009129ED">
              <w:rPr>
                <w:rFonts w:ascii="Times New Roman" w:eastAsia="Times New Roman" w:hAnsi="Times New Roman" w:cs="Times New Roman"/>
                <w:sz w:val="20"/>
                <w:szCs w:val="20"/>
              </w:rPr>
              <w:t>basic</w:t>
            </w:r>
          </w:p>
        </w:tc>
        <w:tc>
          <w:tcPr>
            <w:tcW w:w="1558" w:type="dxa"/>
          </w:tcPr>
          <w:p w:rsidR="009129ED" w:rsidRPr="009129ED" w:rsidRDefault="009129ED" w:rsidP="00506DC8">
            <w:pPr>
              <w:rPr>
                <w:rFonts w:ascii="Times New Roman" w:eastAsia="Times New Roman" w:hAnsi="Times New Roman" w:cs="Times New Roman"/>
                <w:sz w:val="20"/>
                <w:szCs w:val="20"/>
              </w:rPr>
            </w:pPr>
          </w:p>
        </w:tc>
        <w:tc>
          <w:tcPr>
            <w:tcW w:w="389" w:type="dxa"/>
          </w:tcPr>
          <w:p w:rsidR="009129ED" w:rsidRPr="009129ED" w:rsidRDefault="009129ED" w:rsidP="00506DC8">
            <w:pPr>
              <w:rPr>
                <w:rFonts w:ascii="Times New Roman" w:eastAsia="Times New Roman" w:hAnsi="Times New Roman" w:cs="Times New Roman"/>
                <w:sz w:val="20"/>
                <w:szCs w:val="20"/>
              </w:rPr>
            </w:pPr>
          </w:p>
        </w:tc>
        <w:tc>
          <w:tcPr>
            <w:tcW w:w="2727" w:type="dxa"/>
            <w:gridSpan w:val="2"/>
          </w:tcPr>
          <w:p w:rsidR="009129ED" w:rsidRPr="009129ED" w:rsidRDefault="009129ED" w:rsidP="00506DC8">
            <w:pPr>
              <w:rPr>
                <w:rFonts w:ascii="Times New Roman" w:eastAsia="Times New Roman" w:hAnsi="Times New Roman" w:cs="Times New Roman"/>
                <w:sz w:val="20"/>
                <w:szCs w:val="20"/>
              </w:rPr>
            </w:pPr>
          </w:p>
        </w:tc>
        <w:tc>
          <w:tcPr>
            <w:tcW w:w="513" w:type="dxa"/>
          </w:tcPr>
          <w:p w:rsidR="009129ED" w:rsidRPr="009129ED" w:rsidRDefault="009129ED" w:rsidP="00506DC8">
            <w:pPr>
              <w:rPr>
                <w:rFonts w:ascii="Times New Roman" w:eastAsia="Times New Roman" w:hAnsi="Times New Roman" w:cs="Times New Roman"/>
                <w:sz w:val="20"/>
                <w:szCs w:val="20"/>
              </w:rPr>
            </w:pPr>
          </w:p>
        </w:tc>
        <w:tc>
          <w:tcPr>
            <w:tcW w:w="2605" w:type="dxa"/>
            <w:gridSpan w:val="2"/>
          </w:tcPr>
          <w:p w:rsidR="009129ED" w:rsidRPr="009129ED" w:rsidRDefault="009129ED" w:rsidP="00506DC8">
            <w:pPr>
              <w:rPr>
                <w:rFonts w:ascii="Times New Roman" w:eastAsia="Times New Roman" w:hAnsi="Times New Roman" w:cs="Times New Roman"/>
                <w:sz w:val="20"/>
                <w:szCs w:val="20"/>
              </w:rPr>
            </w:pPr>
          </w:p>
        </w:tc>
      </w:tr>
      <w:tr w:rsidR="009129ED" w:rsidRPr="009129ED" w:rsidTr="00506DC8">
        <w:tc>
          <w:tcPr>
            <w:tcW w:w="1558" w:type="dxa"/>
          </w:tcPr>
          <w:p w:rsidR="009129ED" w:rsidRPr="009129ED" w:rsidRDefault="009129ED" w:rsidP="00506DC8">
            <w:pPr>
              <w:rPr>
                <w:rFonts w:ascii="Times New Roman" w:eastAsia="Times New Roman" w:hAnsi="Times New Roman" w:cs="Times New Roman"/>
                <w:sz w:val="20"/>
                <w:szCs w:val="20"/>
              </w:rPr>
            </w:pPr>
            <w:r w:rsidRPr="009129ED">
              <w:rPr>
                <w:rFonts w:ascii="Times New Roman" w:eastAsia="Times New Roman" w:hAnsi="Times New Roman" w:cs="Times New Roman"/>
                <w:sz w:val="20"/>
                <w:szCs w:val="20"/>
              </w:rPr>
              <w:t>diluted</w:t>
            </w:r>
          </w:p>
        </w:tc>
        <w:tc>
          <w:tcPr>
            <w:tcW w:w="1558" w:type="dxa"/>
          </w:tcPr>
          <w:p w:rsidR="009129ED" w:rsidRPr="009129ED" w:rsidRDefault="009129ED" w:rsidP="00506DC8">
            <w:pPr>
              <w:rPr>
                <w:rFonts w:ascii="Times New Roman" w:eastAsia="Times New Roman" w:hAnsi="Times New Roman" w:cs="Times New Roman"/>
                <w:sz w:val="20"/>
                <w:szCs w:val="20"/>
              </w:rPr>
            </w:pPr>
          </w:p>
        </w:tc>
        <w:tc>
          <w:tcPr>
            <w:tcW w:w="389" w:type="dxa"/>
          </w:tcPr>
          <w:p w:rsidR="009129ED" w:rsidRPr="009129ED" w:rsidRDefault="009129ED" w:rsidP="00506DC8">
            <w:pPr>
              <w:rPr>
                <w:rFonts w:ascii="Times New Roman" w:eastAsia="Times New Roman" w:hAnsi="Times New Roman" w:cs="Times New Roman"/>
                <w:sz w:val="20"/>
                <w:szCs w:val="20"/>
              </w:rPr>
            </w:pPr>
          </w:p>
        </w:tc>
        <w:tc>
          <w:tcPr>
            <w:tcW w:w="2727" w:type="dxa"/>
            <w:gridSpan w:val="2"/>
          </w:tcPr>
          <w:p w:rsidR="009129ED" w:rsidRPr="009129ED" w:rsidRDefault="009129ED" w:rsidP="00506DC8">
            <w:pPr>
              <w:rPr>
                <w:rFonts w:ascii="Times New Roman" w:eastAsia="Times New Roman" w:hAnsi="Times New Roman" w:cs="Times New Roman"/>
                <w:sz w:val="20"/>
                <w:szCs w:val="20"/>
              </w:rPr>
            </w:pPr>
          </w:p>
        </w:tc>
        <w:tc>
          <w:tcPr>
            <w:tcW w:w="513" w:type="dxa"/>
          </w:tcPr>
          <w:p w:rsidR="009129ED" w:rsidRPr="009129ED" w:rsidRDefault="009129ED" w:rsidP="00506DC8">
            <w:pPr>
              <w:rPr>
                <w:rFonts w:ascii="Times New Roman" w:eastAsia="Times New Roman" w:hAnsi="Times New Roman" w:cs="Times New Roman"/>
                <w:sz w:val="20"/>
                <w:szCs w:val="20"/>
              </w:rPr>
            </w:pPr>
          </w:p>
        </w:tc>
        <w:tc>
          <w:tcPr>
            <w:tcW w:w="2605" w:type="dxa"/>
            <w:gridSpan w:val="2"/>
          </w:tcPr>
          <w:p w:rsidR="009129ED" w:rsidRPr="009129ED" w:rsidRDefault="009129ED" w:rsidP="00506DC8">
            <w:pPr>
              <w:rPr>
                <w:rFonts w:ascii="Times New Roman" w:eastAsia="Times New Roman" w:hAnsi="Times New Roman" w:cs="Times New Roman"/>
                <w:sz w:val="20"/>
                <w:szCs w:val="20"/>
              </w:rPr>
            </w:pPr>
          </w:p>
        </w:tc>
      </w:tr>
    </w:tbl>
    <w:p w:rsidR="009129ED" w:rsidRPr="009129ED" w:rsidRDefault="009129ED" w:rsidP="009129ED">
      <w:pPr>
        <w:rPr>
          <w:rFonts w:ascii="Times New Roman" w:eastAsia="Times New Roman" w:hAnsi="Times New Roman" w:cs="Times New Roman"/>
        </w:rPr>
      </w:pPr>
    </w:p>
    <w:sectPr w:rsidR="009129ED" w:rsidRPr="009129ED" w:rsidSect="005E2D6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F5571F"/>
    <w:multiLevelType w:val="hybridMultilevel"/>
    <w:tmpl w:val="AE7E8D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9ED"/>
    <w:rsid w:val="002A03B3"/>
    <w:rsid w:val="003A083A"/>
    <w:rsid w:val="005E2D62"/>
    <w:rsid w:val="009129ED"/>
    <w:rsid w:val="00A52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0729E"/>
  <w15:chartTrackingRefBased/>
  <w15:docId w15:val="{8884E103-30CE-3845-8A39-F67E918AC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29ED"/>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9129ED"/>
  </w:style>
  <w:style w:type="character" w:customStyle="1" w:styleId="replace-with-component">
    <w:name w:val="replace-with-component"/>
    <w:basedOn w:val="DefaultParagraphFont"/>
    <w:rsid w:val="009129ED"/>
  </w:style>
  <w:style w:type="character" w:customStyle="1" w:styleId="currencysymbol">
    <w:name w:val="currencysymbol"/>
    <w:basedOn w:val="DefaultParagraphFont"/>
    <w:rsid w:val="009129ED"/>
  </w:style>
  <w:style w:type="table" w:styleId="TableGrid">
    <w:name w:val="Table Grid"/>
    <w:basedOn w:val="TableNormal"/>
    <w:uiPriority w:val="39"/>
    <w:rsid w:val="009129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29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674486">
      <w:bodyDiv w:val="1"/>
      <w:marLeft w:val="0"/>
      <w:marRight w:val="0"/>
      <w:marTop w:val="0"/>
      <w:marBottom w:val="0"/>
      <w:divBdr>
        <w:top w:val="none" w:sz="0" w:space="0" w:color="auto"/>
        <w:left w:val="none" w:sz="0" w:space="0" w:color="auto"/>
        <w:bottom w:val="none" w:sz="0" w:space="0" w:color="auto"/>
        <w:right w:val="none" w:sz="0" w:space="0" w:color="auto"/>
      </w:divBdr>
    </w:div>
    <w:div w:id="557208967">
      <w:bodyDiv w:val="1"/>
      <w:marLeft w:val="0"/>
      <w:marRight w:val="0"/>
      <w:marTop w:val="0"/>
      <w:marBottom w:val="0"/>
      <w:divBdr>
        <w:top w:val="none" w:sz="0" w:space="0" w:color="auto"/>
        <w:left w:val="none" w:sz="0" w:space="0" w:color="auto"/>
        <w:bottom w:val="none" w:sz="0" w:space="0" w:color="auto"/>
        <w:right w:val="none" w:sz="0" w:space="0" w:color="auto"/>
      </w:divBdr>
    </w:div>
    <w:div w:id="841816326">
      <w:bodyDiv w:val="1"/>
      <w:marLeft w:val="0"/>
      <w:marRight w:val="0"/>
      <w:marTop w:val="0"/>
      <w:marBottom w:val="0"/>
      <w:divBdr>
        <w:top w:val="none" w:sz="0" w:space="0" w:color="auto"/>
        <w:left w:val="none" w:sz="0" w:space="0" w:color="auto"/>
        <w:bottom w:val="none" w:sz="0" w:space="0" w:color="auto"/>
        <w:right w:val="none" w:sz="0" w:space="0" w:color="auto"/>
      </w:divBdr>
    </w:div>
    <w:div w:id="1185939844">
      <w:bodyDiv w:val="1"/>
      <w:marLeft w:val="0"/>
      <w:marRight w:val="0"/>
      <w:marTop w:val="0"/>
      <w:marBottom w:val="0"/>
      <w:divBdr>
        <w:top w:val="none" w:sz="0" w:space="0" w:color="auto"/>
        <w:left w:val="none" w:sz="0" w:space="0" w:color="auto"/>
        <w:bottom w:val="none" w:sz="0" w:space="0" w:color="auto"/>
        <w:right w:val="none" w:sz="0" w:space="0" w:color="auto"/>
      </w:divBdr>
    </w:div>
    <w:div w:id="1435636519">
      <w:bodyDiv w:val="1"/>
      <w:marLeft w:val="0"/>
      <w:marRight w:val="0"/>
      <w:marTop w:val="0"/>
      <w:marBottom w:val="0"/>
      <w:divBdr>
        <w:top w:val="none" w:sz="0" w:space="0" w:color="auto"/>
        <w:left w:val="none" w:sz="0" w:space="0" w:color="auto"/>
        <w:bottom w:val="none" w:sz="0" w:space="0" w:color="auto"/>
        <w:right w:val="none" w:sz="0" w:space="0" w:color="auto"/>
      </w:divBdr>
    </w:div>
    <w:div w:id="1817986418">
      <w:bodyDiv w:val="1"/>
      <w:marLeft w:val="0"/>
      <w:marRight w:val="0"/>
      <w:marTop w:val="0"/>
      <w:marBottom w:val="0"/>
      <w:divBdr>
        <w:top w:val="none" w:sz="0" w:space="0" w:color="auto"/>
        <w:left w:val="none" w:sz="0" w:space="0" w:color="auto"/>
        <w:bottom w:val="none" w:sz="0" w:space="0" w:color="auto"/>
        <w:right w:val="none" w:sz="0" w:space="0" w:color="auto"/>
      </w:divBdr>
    </w:div>
    <w:div w:id="192672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Pryor, Gregory B.</dc:creator>
  <cp:keywords/>
  <dc:description/>
  <cp:lastModifiedBy>Pryor, Gregory B.</cp:lastModifiedBy>
  <cp:revision>1</cp:revision>
  <dcterms:created xsi:type="dcterms:W3CDTF">2019-08-11T14:39:00Z</dcterms:created>
  <dcterms:modified xsi:type="dcterms:W3CDTF">2019-08-11T14:51:00Z</dcterms:modified>
</cp:coreProperties>
</file>